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2DC" w:rsidRPr="00073F44" w:rsidRDefault="00FD02DC" w:rsidP="00FD02DC">
      <w:pPr>
        <w:tabs>
          <w:tab w:val="left" w:pos="284"/>
        </w:tabs>
        <w:rPr>
          <w:rFonts w:ascii="Franklin Gothic Demi" w:hAnsi="Franklin Gothic Demi"/>
          <w:color w:val="022063"/>
          <w:sz w:val="44"/>
          <w:szCs w:val="44"/>
        </w:rPr>
      </w:pPr>
      <w:r w:rsidRPr="00815A2A">
        <w:rPr>
          <w:rFonts w:ascii="Franklin Gothic Demi" w:hAnsi="Franklin Gothic Demi"/>
          <w:color w:val="022063"/>
          <w:sz w:val="44"/>
          <w:szCs w:val="44"/>
        </w:rPr>
        <w:t>Arbeid i gr</w:t>
      </w:r>
      <w:r w:rsidRPr="00073F44">
        <w:rPr>
          <w:rFonts w:ascii="Franklin Gothic Demi" w:hAnsi="Franklin Gothic Demi"/>
          <w:color w:val="022063"/>
          <w:sz w:val="44"/>
          <w:szCs w:val="44"/>
        </w:rPr>
        <w:t>øfter</w:t>
      </w:r>
    </w:p>
    <w:p w:rsidR="00FD02DC" w:rsidRPr="00073F44" w:rsidRDefault="00FD02DC" w:rsidP="00FD02DC">
      <w:pPr>
        <w:autoSpaceDE w:val="0"/>
        <w:autoSpaceDN w:val="0"/>
        <w:adjustRightInd w:val="0"/>
        <w:rPr>
          <w:rFonts w:ascii="Franklin Gothic Demi" w:hAnsi="Franklin Gothic Demi" w:cs="Arial"/>
          <w:bCs/>
          <w:color w:val="022063"/>
          <w:lang w:eastAsia="nb-NO"/>
        </w:rPr>
      </w:pPr>
      <w:r w:rsidRPr="00073F44">
        <w:rPr>
          <w:rFonts w:ascii="Franklin Gothic Demi" w:hAnsi="Franklin Gothic Demi" w:cs="Arial"/>
          <w:bCs/>
          <w:color w:val="022063"/>
          <w:lang w:eastAsia="nb-NO"/>
        </w:rPr>
        <w:t>Jf. Forskrift om utførelse av arbeid, bruk av arbeidsutstyr og tilhørende tekniske krav</w:t>
      </w:r>
    </w:p>
    <w:p w:rsidR="00FD02DC" w:rsidRDefault="00FD02DC" w:rsidP="00FD02DC"/>
    <w:p w:rsidR="00FD02DC" w:rsidRDefault="00FD02DC" w:rsidP="00FD02DC"/>
    <w:p w:rsidR="00FD02DC" w:rsidRPr="000572B6" w:rsidRDefault="00FD02DC" w:rsidP="00FD02DC">
      <w:pPr>
        <w:autoSpaceDE w:val="0"/>
        <w:autoSpaceDN w:val="0"/>
        <w:adjustRightInd w:val="0"/>
        <w:rPr>
          <w:b/>
          <w:iCs/>
        </w:rPr>
      </w:pPr>
      <w:r w:rsidRPr="000572B6">
        <w:rPr>
          <w:b/>
          <w:iCs/>
        </w:rPr>
        <w:t>Innhenting av geoteknisk kompetanse</w:t>
      </w:r>
    </w:p>
    <w:p w:rsidR="00FD02DC" w:rsidRDefault="00FD02DC" w:rsidP="00FD02DC">
      <w:pPr>
        <w:autoSpaceDE w:val="0"/>
        <w:autoSpaceDN w:val="0"/>
        <w:adjustRightInd w:val="0"/>
      </w:pPr>
      <w:r w:rsidRPr="00062F3D">
        <w:t xml:space="preserve">Før det settes i gang graving under fundamenteringsnivået for bygningskonstruksjoner, </w:t>
      </w:r>
      <w:r>
        <w:t>eller v</w:t>
      </w:r>
      <w:r w:rsidRPr="00062F3D">
        <w:t>ed graving av grøft på langs av en skråningsfot eller skråning som heller mer enn 1:10 inn mot grøfteside, skal gravingen vurderes av en erfaren person med tilstrekkelige lokale geotekniske kunnskaper før graving igangsettes.</w:t>
      </w:r>
    </w:p>
    <w:p w:rsidR="00FD02DC" w:rsidRDefault="00FD02DC" w:rsidP="00FD02DC">
      <w:pPr>
        <w:autoSpaceDE w:val="0"/>
        <w:autoSpaceDN w:val="0"/>
        <w:adjustRightInd w:val="0"/>
      </w:pPr>
    </w:p>
    <w:p w:rsidR="00FD02DC" w:rsidRPr="000572B6" w:rsidRDefault="00FD02DC" w:rsidP="00FD02DC">
      <w:pPr>
        <w:autoSpaceDE w:val="0"/>
        <w:autoSpaceDN w:val="0"/>
        <w:adjustRightInd w:val="0"/>
      </w:pPr>
      <w:r w:rsidRPr="00062F3D">
        <w:t>Likeledes skal det tas spesielle forholdsregler ved graving der grunnen i umiddelbar nærhet av grøften har ekstra belastning,</w:t>
      </w:r>
      <w:r>
        <w:t xml:space="preserve"> </w:t>
      </w:r>
      <w:r w:rsidRPr="00062F3D">
        <w:t>f.eks. ved lagerplass, ved støttemur ol.</w:t>
      </w:r>
    </w:p>
    <w:p w:rsidR="00FD02DC" w:rsidRDefault="00FD02DC" w:rsidP="00FD02DC">
      <w:pPr>
        <w:tabs>
          <w:tab w:val="left" w:pos="0"/>
          <w:tab w:val="left" w:pos="5670"/>
        </w:tabs>
        <w:rPr>
          <w:color w:val="000000"/>
        </w:rPr>
      </w:pPr>
    </w:p>
    <w:p w:rsidR="00FD02DC" w:rsidRDefault="00FD02DC" w:rsidP="00FD02DC">
      <w:pPr>
        <w:tabs>
          <w:tab w:val="left" w:pos="0"/>
        </w:tabs>
        <w:rPr>
          <w:color w:val="000000"/>
        </w:rPr>
      </w:pPr>
      <w:r>
        <w:rPr>
          <w:color w:val="000000"/>
        </w:rPr>
        <w:t xml:space="preserve">Dersom grøftedybden er </w:t>
      </w:r>
      <w:r>
        <w:rPr>
          <w:b/>
          <w:color w:val="000000"/>
        </w:rPr>
        <w:t>mindre enn 2 meter</w:t>
      </w:r>
      <w:r>
        <w:rPr>
          <w:color w:val="000000"/>
        </w:rPr>
        <w:t>, vil det kunne graves med rette vegger. ·</w:t>
      </w:r>
      <w:r>
        <w:rPr>
          <w:color w:val="000000"/>
        </w:rPr>
        <w:br/>
        <w:t xml:space="preserve">Er grøftedybden </w:t>
      </w:r>
      <w:r>
        <w:rPr>
          <w:b/>
          <w:color w:val="000000"/>
        </w:rPr>
        <w:t>større enn 2 meter</w:t>
      </w:r>
      <w:r>
        <w:rPr>
          <w:color w:val="000000"/>
        </w:rPr>
        <w:t xml:space="preserve">, må grøften sikres forsvarlig og det skal utarbeides egen plan.  </w:t>
      </w:r>
    </w:p>
    <w:p w:rsidR="00FD02DC" w:rsidRDefault="00FD02DC" w:rsidP="00FD02DC">
      <w:pPr>
        <w:tabs>
          <w:tab w:val="left" w:pos="0"/>
          <w:tab w:val="left" w:pos="340"/>
        </w:tabs>
        <w:rPr>
          <w:b/>
          <w:color w:val="000000"/>
        </w:rPr>
      </w:pP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  <w:r>
        <w:rPr>
          <w:color w:val="000000"/>
        </w:rPr>
        <w:t>Planen skal:</w:t>
      </w: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Vise lengdeprofil med beskrivelse av jordarter ned til 1,0 meter under grøfte-/sjaktbunn når grøften ikke avstives.</w:t>
      </w: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Vise typiske tverrprofiler. Når avstivning er planlagt, skal dette vises på tegningen.</w:t>
      </w: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Vise plassering av gravemasser.</w:t>
      </w: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  <w:t>Inneholde arbeidsinstruks som dekker alle arbeidsoperasjonene.</w:t>
      </w: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  <w:r>
        <w:rPr>
          <w:color w:val="000000"/>
        </w:rPr>
        <w:t>5.</w:t>
      </w:r>
      <w:r>
        <w:rPr>
          <w:color w:val="000000"/>
        </w:rPr>
        <w:tab/>
        <w:t>Ved mindre arbeider kan en skisse aksepteres.</w:t>
      </w: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</w:p>
    <w:p w:rsidR="00FD02DC" w:rsidRDefault="00FD02DC" w:rsidP="00FD02DC">
      <w:pPr>
        <w:tabs>
          <w:tab w:val="left" w:pos="340"/>
        </w:tabs>
        <w:ind w:left="340" w:hanging="340"/>
        <w:rPr>
          <w:color w:val="000000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51435</wp:posOffset>
            </wp:positionV>
            <wp:extent cx="2456815" cy="4295775"/>
            <wp:effectExtent l="0" t="0" r="635" b="9525"/>
            <wp:wrapTight wrapText="bothSides">
              <wp:wrapPolygon edited="0">
                <wp:start x="15744" y="0"/>
                <wp:lineTo x="7872" y="575"/>
                <wp:lineTo x="4355" y="1054"/>
                <wp:lineTo x="4355" y="1533"/>
                <wp:lineTo x="1675" y="3065"/>
                <wp:lineTo x="502" y="4598"/>
                <wp:lineTo x="0" y="7663"/>
                <wp:lineTo x="0" y="17529"/>
                <wp:lineTo x="335" y="18391"/>
                <wp:lineTo x="2010" y="19924"/>
                <wp:lineTo x="2010" y="20211"/>
                <wp:lineTo x="5694" y="21456"/>
                <wp:lineTo x="7704" y="21552"/>
                <wp:lineTo x="13566" y="21552"/>
                <wp:lineTo x="14571" y="21456"/>
                <wp:lineTo x="18423" y="20115"/>
                <wp:lineTo x="20433" y="18391"/>
                <wp:lineTo x="21271" y="16859"/>
                <wp:lineTo x="21438" y="16188"/>
                <wp:lineTo x="21438" y="13889"/>
                <wp:lineTo x="19261" y="13793"/>
                <wp:lineTo x="18423" y="12261"/>
                <wp:lineTo x="19093" y="10728"/>
                <wp:lineTo x="20936" y="9196"/>
                <wp:lineTo x="21438" y="8238"/>
                <wp:lineTo x="21438" y="6992"/>
                <wp:lineTo x="20601" y="6130"/>
                <wp:lineTo x="20433" y="4598"/>
                <wp:lineTo x="19931" y="3065"/>
                <wp:lineTo x="19093" y="2395"/>
                <wp:lineTo x="17418" y="671"/>
                <wp:lineTo x="16581" y="0"/>
                <wp:lineTo x="15744" y="0"/>
              </wp:wrapPolygon>
            </wp:wrapTight>
            <wp:docPr id="13" name="Bilde 13" descr="C:\Users\Argus-Berit\Desktop\Graving sikkerhe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3" descr="C:\Users\Argus-Berit\Desktop\Graving sikkerhet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2DC" w:rsidRDefault="00FD02DC" w:rsidP="00FD02DC">
      <w:pPr>
        <w:tabs>
          <w:tab w:val="left" w:pos="5103"/>
        </w:tabs>
        <w:ind w:left="5103"/>
        <w:rPr>
          <w:color w:val="000000"/>
        </w:rPr>
      </w:pPr>
      <w:r>
        <w:rPr>
          <w:b/>
          <w:color w:val="000000"/>
        </w:rPr>
        <w:t>Overstiger dybden 3 meter</w:t>
      </w:r>
      <w:r>
        <w:rPr>
          <w:color w:val="000000"/>
        </w:rPr>
        <w:t>, skal avstivningen dimensjoneres av faglig kvalifisert person og beregningen skal kunne dokumenteres på forespørsel. Ved prefabrikkerte avstivninger eller annet personvern til bruk i grøft, skal bruksveiledning klart vise til hvilke jordarter konstruksjonen er beregnet for. Kravet om dokumentasjon av beregninger på arbeidsplassen vil da bortfalle.</w:t>
      </w:r>
    </w:p>
    <w:p w:rsidR="00FD02DC" w:rsidRDefault="00FD02DC" w:rsidP="00FD02DC">
      <w:pPr>
        <w:tabs>
          <w:tab w:val="left" w:pos="340"/>
          <w:tab w:val="left" w:pos="5103"/>
        </w:tabs>
        <w:ind w:left="5103"/>
        <w:rPr>
          <w:color w:val="000000"/>
        </w:rPr>
      </w:pPr>
    </w:p>
    <w:p w:rsidR="00FD02DC" w:rsidRDefault="00FD02DC" w:rsidP="00FD02DC">
      <w:pPr>
        <w:tabs>
          <w:tab w:val="left" w:pos="340"/>
          <w:tab w:val="left" w:pos="5103"/>
        </w:tabs>
        <w:ind w:left="5103"/>
        <w:rPr>
          <w:color w:val="000000"/>
        </w:rPr>
      </w:pPr>
    </w:p>
    <w:p w:rsidR="00FD02DC" w:rsidRPr="009E5EDE" w:rsidRDefault="00FD02DC" w:rsidP="00FD02DC">
      <w:pPr>
        <w:tabs>
          <w:tab w:val="left" w:pos="5103"/>
        </w:tabs>
        <w:ind w:left="5103"/>
        <w:rPr>
          <w:color w:val="022063"/>
        </w:rPr>
      </w:pPr>
      <w:r w:rsidRPr="009E5EDE">
        <w:rPr>
          <w:b/>
          <w:color w:val="022063"/>
        </w:rPr>
        <w:t>For utdypende kommentarer,</w:t>
      </w:r>
      <w:r>
        <w:rPr>
          <w:b/>
          <w:color w:val="022063"/>
        </w:rPr>
        <w:t xml:space="preserve"> </w:t>
      </w:r>
      <w:r w:rsidRPr="009E5EDE">
        <w:rPr>
          <w:b/>
          <w:color w:val="022063"/>
        </w:rPr>
        <w:t xml:space="preserve">se </w:t>
      </w:r>
      <w:proofErr w:type="spellStart"/>
      <w:r w:rsidRPr="009E5EDE">
        <w:rPr>
          <w:b/>
          <w:color w:val="022063"/>
        </w:rPr>
        <w:t>forskriftens</w:t>
      </w:r>
      <w:proofErr w:type="spellEnd"/>
      <w:r w:rsidRPr="009E5EDE">
        <w:rPr>
          <w:b/>
          <w:color w:val="022063"/>
        </w:rPr>
        <w:t xml:space="preserve"> §§ 21-1 til 21-6</w:t>
      </w:r>
      <w:r>
        <w:rPr>
          <w:b/>
          <w:color w:val="022063"/>
        </w:rPr>
        <w:t>.</w:t>
      </w:r>
      <w:r w:rsidRPr="009E5EDE">
        <w:rPr>
          <w:b/>
          <w:color w:val="022063"/>
        </w:rPr>
        <w:t xml:space="preserve"> </w:t>
      </w:r>
    </w:p>
    <w:p w:rsidR="00FD02DC" w:rsidRDefault="00FD02DC" w:rsidP="00FD02DC">
      <w:pPr>
        <w:tabs>
          <w:tab w:val="left" w:pos="5103"/>
        </w:tabs>
        <w:ind w:left="5103"/>
      </w:pPr>
    </w:p>
    <w:p w:rsidR="00FD02DC" w:rsidRDefault="00FD02DC" w:rsidP="00FD02DC">
      <w:pPr>
        <w:tabs>
          <w:tab w:val="left" w:pos="5103"/>
        </w:tabs>
        <w:ind w:left="5103"/>
      </w:pPr>
    </w:p>
    <w:p w:rsidR="00FD02DC" w:rsidRDefault="00FD02DC" w:rsidP="00FD02DC">
      <w:pPr>
        <w:tabs>
          <w:tab w:val="left" w:pos="5103"/>
        </w:tabs>
        <w:ind w:left="5103"/>
        <w:rPr>
          <w:rFonts w:ascii="Tempus Sans ITC" w:hAnsi="Tempus Sans ITC"/>
          <w:b/>
          <w:color w:val="022063"/>
        </w:rPr>
      </w:pPr>
    </w:p>
    <w:p w:rsidR="00FD02DC" w:rsidRDefault="00FD02DC" w:rsidP="00FD02DC">
      <w:pPr>
        <w:tabs>
          <w:tab w:val="left" w:pos="5103"/>
        </w:tabs>
        <w:ind w:left="5103"/>
        <w:rPr>
          <w:rFonts w:ascii="Tempus Sans ITC" w:hAnsi="Tempus Sans ITC"/>
          <w:b/>
          <w:color w:val="022063"/>
        </w:rPr>
      </w:pPr>
    </w:p>
    <w:p w:rsidR="00FD02DC" w:rsidRDefault="00FD02DC" w:rsidP="00FD02DC">
      <w:pPr>
        <w:tabs>
          <w:tab w:val="left" w:pos="5103"/>
        </w:tabs>
        <w:ind w:left="5103"/>
        <w:rPr>
          <w:rFonts w:ascii="Tempus Sans ITC" w:hAnsi="Tempus Sans ITC"/>
          <w:b/>
          <w:color w:val="022063"/>
        </w:rPr>
      </w:pPr>
    </w:p>
    <w:p w:rsidR="00FD02DC" w:rsidRDefault="00FD02DC" w:rsidP="00FD02DC">
      <w:pPr>
        <w:tabs>
          <w:tab w:val="left" w:pos="0"/>
        </w:tabs>
        <w:rPr>
          <w:rFonts w:ascii="Tempus Sans ITC" w:hAnsi="Tempus Sans ITC"/>
          <w:b/>
          <w:color w:val="022063"/>
        </w:rPr>
      </w:pPr>
      <w:r w:rsidRPr="00815A2A">
        <w:rPr>
          <w:rFonts w:ascii="Tempus Sans ITC" w:hAnsi="Tempus Sans ITC"/>
          <w:b/>
          <w:color w:val="022063"/>
        </w:rPr>
        <w:t xml:space="preserve">"Nå er det rett før </w:t>
      </w:r>
      <w:proofErr w:type="spellStart"/>
      <w:r w:rsidRPr="00815A2A">
        <w:rPr>
          <w:rFonts w:ascii="Tempus Sans ITC" w:hAnsi="Tempus Sans ITC"/>
          <w:b/>
          <w:color w:val="022063"/>
        </w:rPr>
        <w:t>je</w:t>
      </w:r>
      <w:proofErr w:type="spellEnd"/>
      <w:r w:rsidRPr="00815A2A">
        <w:rPr>
          <w:rFonts w:ascii="Tempus Sans ITC" w:hAnsi="Tempus Sans ITC"/>
          <w:b/>
          <w:color w:val="022063"/>
        </w:rPr>
        <w:t xml:space="preserve"> blir </w:t>
      </w:r>
      <w:r w:rsidRPr="00815A2A">
        <w:rPr>
          <w:rFonts w:ascii="Tempus Sans ITC" w:hAnsi="Tempus Sans ITC"/>
          <w:b/>
          <w:color w:val="022063"/>
        </w:rPr>
        <w:br/>
      </w:r>
      <w:proofErr w:type="spellStart"/>
      <w:r w:rsidRPr="00815A2A">
        <w:rPr>
          <w:rFonts w:ascii="Tempus Sans ITC" w:hAnsi="Tempus Sans ITC"/>
          <w:b/>
          <w:color w:val="022063"/>
        </w:rPr>
        <w:t>forhenværendes</w:t>
      </w:r>
      <w:proofErr w:type="spellEnd"/>
      <w:r w:rsidRPr="00815A2A">
        <w:rPr>
          <w:rFonts w:ascii="Tempus Sans ITC" w:hAnsi="Tempus Sans ITC"/>
          <w:b/>
          <w:color w:val="022063"/>
        </w:rPr>
        <w:t>…"</w:t>
      </w:r>
    </w:p>
    <w:p w:rsidR="0014509F" w:rsidRPr="00201151" w:rsidRDefault="0014509F" w:rsidP="00ED4D30">
      <w:pPr>
        <w:rPr>
          <w:rFonts w:ascii="Franklin Gothic Demi" w:hAnsi="Franklin Gothic Demi"/>
          <w:color w:val="022063"/>
        </w:rPr>
      </w:pPr>
      <w:bookmarkStart w:id="0" w:name="_GoBack"/>
      <w:bookmarkEnd w:id="0"/>
    </w:p>
    <w:sectPr w:rsidR="0014509F" w:rsidRPr="0020115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7D1" w:rsidRDefault="00F057D1" w:rsidP="00F057D1">
      <w:r>
        <w:separator/>
      </w:r>
    </w:p>
  </w:endnote>
  <w:endnote w:type="continuationSeparator" w:id="0">
    <w:p w:rsidR="00F057D1" w:rsidRDefault="00F057D1" w:rsidP="00F05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7D1" w:rsidRDefault="00F057D1" w:rsidP="00F057D1">
      <w:r>
        <w:separator/>
      </w:r>
    </w:p>
  </w:footnote>
  <w:footnote w:type="continuationSeparator" w:id="0">
    <w:p w:rsidR="00F057D1" w:rsidRDefault="00F057D1" w:rsidP="00F05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7D1" w:rsidRDefault="00F057D1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.2pt;margin-top:-13.95pt;width:105.2pt;height:24.8pt;z-index:-251658240">
          <v:imagedata r:id="rId1" o:title=""/>
        </v:shape>
        <o:OLEObject Type="Embed" ProgID="Photoshop.Image.6" ShapeID="_x0000_s2049" DrawAspect="Content" ObjectID="_1541842988" r:id="rId2">
          <o:FieldCodes>\s</o:FieldCodes>
        </o:OLEObject>
      </w:pict>
    </w:r>
  </w:p>
  <w:p w:rsidR="00F057D1" w:rsidRDefault="00F057D1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2AE9"/>
    <w:multiLevelType w:val="hybridMultilevel"/>
    <w:tmpl w:val="C2A4A694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A132C"/>
    <w:multiLevelType w:val="hybridMultilevel"/>
    <w:tmpl w:val="88300A36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D7F32"/>
    <w:multiLevelType w:val="hybridMultilevel"/>
    <w:tmpl w:val="F230DFB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6445F"/>
    <w:multiLevelType w:val="hybridMultilevel"/>
    <w:tmpl w:val="6818F44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46658"/>
    <w:multiLevelType w:val="hybridMultilevel"/>
    <w:tmpl w:val="1FDCA2C6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76915"/>
    <w:multiLevelType w:val="hybridMultilevel"/>
    <w:tmpl w:val="53184820"/>
    <w:lvl w:ilvl="0" w:tplc="AEDA7BBC">
      <w:start w:val="1"/>
      <w:numFmt w:val="bullet"/>
      <w:lvlText w:val="»"/>
      <w:lvlJc w:val="left"/>
      <w:pPr>
        <w:ind w:left="461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6">
    <w:nsid w:val="1BDF6523"/>
    <w:multiLevelType w:val="hybridMultilevel"/>
    <w:tmpl w:val="6ED8B188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379EF"/>
    <w:multiLevelType w:val="hybridMultilevel"/>
    <w:tmpl w:val="27CC1842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144D2"/>
    <w:multiLevelType w:val="hybridMultilevel"/>
    <w:tmpl w:val="FE8AACE4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412725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4D1C8162">
      <w:numFmt w:val="bullet"/>
      <w:lvlText w:val=""/>
      <w:lvlJc w:val="left"/>
      <w:pPr>
        <w:ind w:left="2520" w:hanging="720"/>
      </w:pPr>
      <w:rPr>
        <w:rFonts w:ascii="Symbol" w:eastAsia="Times New Roman" w:hAnsi="Symbol" w:cs="CG Time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B1637"/>
    <w:multiLevelType w:val="hybridMultilevel"/>
    <w:tmpl w:val="FAA890BE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85320"/>
    <w:multiLevelType w:val="hybridMultilevel"/>
    <w:tmpl w:val="68A05FF0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AC49A7"/>
    <w:multiLevelType w:val="hybridMultilevel"/>
    <w:tmpl w:val="8D4E9278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F24199"/>
    <w:multiLevelType w:val="hybridMultilevel"/>
    <w:tmpl w:val="7B4EC788"/>
    <w:lvl w:ilvl="0" w:tplc="457E87C2">
      <w:start w:val="1"/>
      <w:numFmt w:val="bullet"/>
      <w:lvlText w:val="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57E87C2">
      <w:start w:val="1"/>
      <w:numFmt w:val="bullet"/>
      <w:lvlText w:val="»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D10408"/>
    <w:multiLevelType w:val="hybridMultilevel"/>
    <w:tmpl w:val="D0CA7320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AD7D88"/>
    <w:multiLevelType w:val="hybridMultilevel"/>
    <w:tmpl w:val="1E0AEA64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13"/>
  </w:num>
  <w:num w:numId="5">
    <w:abstractNumId w:val="14"/>
  </w:num>
  <w:num w:numId="6">
    <w:abstractNumId w:val="4"/>
  </w:num>
  <w:num w:numId="7">
    <w:abstractNumId w:val="6"/>
  </w:num>
  <w:num w:numId="8">
    <w:abstractNumId w:val="9"/>
  </w:num>
  <w:num w:numId="9">
    <w:abstractNumId w:val="11"/>
  </w:num>
  <w:num w:numId="10">
    <w:abstractNumId w:val="10"/>
  </w:num>
  <w:num w:numId="11">
    <w:abstractNumId w:val="0"/>
  </w:num>
  <w:num w:numId="12">
    <w:abstractNumId w:val="7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D1"/>
    <w:rsid w:val="00142FC5"/>
    <w:rsid w:val="0014509F"/>
    <w:rsid w:val="00201151"/>
    <w:rsid w:val="004B63DB"/>
    <w:rsid w:val="004C141F"/>
    <w:rsid w:val="00567904"/>
    <w:rsid w:val="0058403E"/>
    <w:rsid w:val="00944971"/>
    <w:rsid w:val="00982F69"/>
    <w:rsid w:val="009B486F"/>
    <w:rsid w:val="00AB2D16"/>
    <w:rsid w:val="00EA1263"/>
    <w:rsid w:val="00ED4D30"/>
    <w:rsid w:val="00F057D1"/>
    <w:rsid w:val="00FD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79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EA1263"/>
    <w:pPr>
      <w:keepNext/>
      <w:tabs>
        <w:tab w:val="left" w:pos="284"/>
      </w:tabs>
      <w:overflowPunct w:val="0"/>
      <w:autoSpaceDE w:val="0"/>
      <w:autoSpaceDN w:val="0"/>
      <w:adjustRightInd w:val="0"/>
      <w:ind w:left="284" w:hanging="284"/>
      <w:jc w:val="center"/>
      <w:outlineLvl w:val="1"/>
    </w:pPr>
    <w:rPr>
      <w:rFonts w:eastAsia="Arial Unicode MS"/>
      <w:b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F057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057D1"/>
    <w:rPr>
      <w:rFonts w:ascii="Times New Roman" w:eastAsia="Times New Roman" w:hAnsi="Times New Roman" w:cs="Times New Roman"/>
      <w:sz w:val="24"/>
      <w:szCs w:val="24"/>
    </w:rPr>
  </w:style>
  <w:style w:type="character" w:styleId="Hyperkobling">
    <w:name w:val="Hyperlink"/>
    <w:rsid w:val="00F057D1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F057D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057D1"/>
    <w:rPr>
      <w:rFonts w:ascii="Times New Roman" w:eastAsia="Times New Roman" w:hAnsi="Times New Roman" w:cs="Times New Roman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057D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057D1"/>
    <w:rPr>
      <w:rFonts w:ascii="Tahoma" w:eastAsia="Times New Roman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rsid w:val="00EA1263"/>
    <w:rPr>
      <w:rFonts w:ascii="Times New Roman" w:eastAsia="Arial Unicode MS" w:hAnsi="Times New Roman" w:cs="Times New Roman"/>
      <w:b/>
      <w:sz w:val="24"/>
      <w:szCs w:val="20"/>
      <w:lang w:eastAsia="nb-NO"/>
    </w:rPr>
  </w:style>
  <w:style w:type="paragraph" w:styleId="Ingenmellomrom">
    <w:name w:val="No Spacing"/>
    <w:uiPriority w:val="99"/>
    <w:qFormat/>
    <w:rsid w:val="00EA1263"/>
    <w:pPr>
      <w:spacing w:after="0" w:line="240" w:lineRule="auto"/>
    </w:pPr>
    <w:rPr>
      <w:rFonts w:ascii="Calibri" w:eastAsia="Times New Roman" w:hAnsi="Calibri" w:cs="Times New Roman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67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5679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9449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79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EA1263"/>
    <w:pPr>
      <w:keepNext/>
      <w:tabs>
        <w:tab w:val="left" w:pos="284"/>
      </w:tabs>
      <w:overflowPunct w:val="0"/>
      <w:autoSpaceDE w:val="0"/>
      <w:autoSpaceDN w:val="0"/>
      <w:adjustRightInd w:val="0"/>
      <w:ind w:left="284" w:hanging="284"/>
      <w:jc w:val="center"/>
      <w:outlineLvl w:val="1"/>
    </w:pPr>
    <w:rPr>
      <w:rFonts w:eastAsia="Arial Unicode MS"/>
      <w:b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F057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057D1"/>
    <w:rPr>
      <w:rFonts w:ascii="Times New Roman" w:eastAsia="Times New Roman" w:hAnsi="Times New Roman" w:cs="Times New Roman"/>
      <w:sz w:val="24"/>
      <w:szCs w:val="24"/>
    </w:rPr>
  </w:style>
  <w:style w:type="character" w:styleId="Hyperkobling">
    <w:name w:val="Hyperlink"/>
    <w:rsid w:val="00F057D1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F057D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057D1"/>
    <w:rPr>
      <w:rFonts w:ascii="Times New Roman" w:eastAsia="Times New Roman" w:hAnsi="Times New Roman" w:cs="Times New Roman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057D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057D1"/>
    <w:rPr>
      <w:rFonts w:ascii="Tahoma" w:eastAsia="Times New Roman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rsid w:val="00EA1263"/>
    <w:rPr>
      <w:rFonts w:ascii="Times New Roman" w:eastAsia="Arial Unicode MS" w:hAnsi="Times New Roman" w:cs="Times New Roman"/>
      <w:b/>
      <w:sz w:val="24"/>
      <w:szCs w:val="20"/>
      <w:lang w:eastAsia="nb-NO"/>
    </w:rPr>
  </w:style>
  <w:style w:type="paragraph" w:styleId="Ingenmellomrom">
    <w:name w:val="No Spacing"/>
    <w:uiPriority w:val="99"/>
    <w:qFormat/>
    <w:rsid w:val="00EA1263"/>
    <w:pPr>
      <w:spacing w:after="0" w:line="240" w:lineRule="auto"/>
    </w:pPr>
    <w:rPr>
      <w:rFonts w:ascii="Calibri" w:eastAsia="Times New Roman" w:hAnsi="Calibri" w:cs="Times New Roman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67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5679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9449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Herdis Holo Nordhaug</dc:creator>
  <cp:lastModifiedBy>Herdis Holo Nordhaug</cp:lastModifiedBy>
  <cp:revision>2</cp:revision>
  <dcterms:created xsi:type="dcterms:W3CDTF">2016-11-28T11:56:00Z</dcterms:created>
  <dcterms:modified xsi:type="dcterms:W3CDTF">2016-11-28T11:56:00Z</dcterms:modified>
</cp:coreProperties>
</file>